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4F4025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月</w:t>
      </w:r>
      <w:r w:rsidR="00F7555A">
        <w:rPr>
          <w:rFonts w:hint="eastAsia"/>
          <w:b/>
          <w:sz w:val="32"/>
        </w:rPr>
        <w:t>15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4F4025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月</w:t>
      </w:r>
      <w:r w:rsidR="00F7555A">
        <w:rPr>
          <w:rFonts w:hint="eastAsia"/>
          <w:b/>
          <w:sz w:val="32"/>
        </w:rPr>
        <w:t>19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777524" w:rsidRDefault="00823107" w:rsidP="004F4025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（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F7555A">
        <w:rPr>
          <w:rFonts w:ascii="宋体" w:hAnsi="宋体" w:cs="宋体" w:hint="eastAsia"/>
          <w:color w:val="000000"/>
          <w:kern w:val="0"/>
          <w:sz w:val="24"/>
        </w:rPr>
        <w:t>15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27EE4">
        <w:rPr>
          <w:rFonts w:ascii="宋体" w:hAnsi="宋体" w:cs="宋体" w:hint="eastAsia"/>
          <w:color w:val="000000"/>
          <w:kern w:val="0"/>
          <w:sz w:val="24"/>
        </w:rPr>
        <w:t>-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F7555A">
        <w:rPr>
          <w:rFonts w:ascii="宋体" w:hAnsi="宋体" w:cs="宋体" w:hint="eastAsia"/>
          <w:color w:val="000000"/>
          <w:kern w:val="0"/>
          <w:sz w:val="24"/>
        </w:rPr>
        <w:t>19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）</w:t>
      </w:r>
      <w:r w:rsidR="007C64E8" w:rsidRPr="007C64E8">
        <w:rPr>
          <w:rFonts w:ascii="宋体" w:hAnsi="宋体" w:cs="宋体" w:hint="eastAsia"/>
          <w:color w:val="000000"/>
          <w:kern w:val="0"/>
          <w:sz w:val="24"/>
        </w:rPr>
        <w:t>由于原油需求仍有复苏的迹象以及欧佩克+强调全面遵守减产承诺的重要性，并敦促伊拉克和哈萨克斯坦等</w:t>
      </w:r>
      <w:proofErr w:type="gramStart"/>
      <w:r w:rsidR="007C64E8" w:rsidRPr="007C64E8">
        <w:rPr>
          <w:rFonts w:ascii="宋体" w:hAnsi="宋体" w:cs="宋体" w:hint="eastAsia"/>
          <w:color w:val="000000"/>
          <w:kern w:val="0"/>
          <w:sz w:val="24"/>
        </w:rPr>
        <w:t>国更好</w:t>
      </w:r>
      <w:proofErr w:type="gramEnd"/>
      <w:r w:rsidR="007C64E8" w:rsidRPr="007C64E8">
        <w:rPr>
          <w:rFonts w:ascii="宋体" w:hAnsi="宋体" w:cs="宋体" w:hint="eastAsia"/>
          <w:color w:val="000000"/>
          <w:kern w:val="0"/>
          <w:sz w:val="24"/>
        </w:rPr>
        <w:t>地遵守减产协议，采取措施确保在上个月未能全面实现减产目标的国家</w:t>
      </w:r>
      <w:proofErr w:type="gramStart"/>
      <w:r w:rsidR="007C64E8" w:rsidRPr="007C64E8">
        <w:rPr>
          <w:rFonts w:ascii="宋体" w:hAnsi="宋体" w:cs="宋体" w:hint="eastAsia"/>
          <w:color w:val="000000"/>
          <w:kern w:val="0"/>
          <w:sz w:val="24"/>
        </w:rPr>
        <w:t>作出</w:t>
      </w:r>
      <w:proofErr w:type="gramEnd"/>
      <w:r w:rsidR="007C64E8" w:rsidRPr="007C64E8">
        <w:rPr>
          <w:rFonts w:ascii="宋体" w:hAnsi="宋体" w:cs="宋体" w:hint="eastAsia"/>
          <w:color w:val="000000"/>
          <w:kern w:val="0"/>
          <w:sz w:val="24"/>
        </w:rPr>
        <w:t>补偿，加之IEA公布的月度报告整体预期乐观，并上调了2020</w:t>
      </w:r>
      <w:r w:rsidR="007C64E8">
        <w:rPr>
          <w:rFonts w:ascii="宋体" w:hAnsi="宋体" w:cs="宋体" w:hint="eastAsia"/>
          <w:color w:val="000000"/>
          <w:kern w:val="0"/>
          <w:sz w:val="24"/>
        </w:rPr>
        <w:t>年原油需求预期，这为油价提供了有力支撑，油价受此提振延续涨势</w:t>
      </w:r>
      <w:r w:rsidR="004D1A86"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7C64E8">
        <w:rPr>
          <w:rFonts w:ascii="宋体" w:hAnsi="宋体" w:cs="宋体" w:hint="eastAsia"/>
          <w:color w:val="000000"/>
          <w:kern w:val="0"/>
          <w:sz w:val="24"/>
        </w:rPr>
        <w:t>38.41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271994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7C64E8">
        <w:rPr>
          <w:rFonts w:ascii="宋体" w:hAnsi="宋体" w:cs="宋体" w:hint="eastAsia"/>
          <w:color w:val="000000"/>
          <w:kern w:val="0"/>
          <w:sz w:val="24"/>
        </w:rPr>
        <w:t>1.44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7C64E8">
        <w:rPr>
          <w:rFonts w:ascii="宋体" w:hAnsi="宋体" w:cs="宋体" w:hint="eastAsia"/>
          <w:color w:val="000000"/>
          <w:kern w:val="0"/>
          <w:sz w:val="24"/>
        </w:rPr>
        <w:t>40.66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7C64E8">
        <w:rPr>
          <w:rFonts w:ascii="宋体" w:hAnsi="宋体" w:cs="宋体" w:hint="eastAsia"/>
          <w:color w:val="000000"/>
          <w:kern w:val="0"/>
          <w:sz w:val="24"/>
        </w:rPr>
        <w:t>3.19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2B72F0" w:rsidP="00E315B5">
      <w:pPr>
        <w:ind w:firstLineChars="200" w:firstLine="48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192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B0576A">
      <w:pPr>
        <w:widowControl/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C124CE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EF70C0" w:rsidRPr="00EF70C0">
        <w:rPr>
          <w:rFonts w:ascii="宋体" w:hAnsi="宋体" w:cs="宋体" w:hint="eastAsia"/>
          <w:b/>
          <w:color w:val="000000"/>
          <w:kern w:val="0"/>
          <w:sz w:val="24"/>
        </w:rPr>
        <w:t>美国经济复苏前景存在“高度不确定性”</w:t>
      </w:r>
    </w:p>
    <w:p w:rsidR="00EF70C0" w:rsidRPr="00EF70C0" w:rsidRDefault="00EF70C0" w:rsidP="00EF70C0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EF70C0">
        <w:rPr>
          <w:rFonts w:ascii="宋体" w:hAnsi="宋体" w:cs="宋体" w:hint="eastAsia"/>
          <w:color w:val="000000"/>
          <w:kern w:val="0"/>
          <w:sz w:val="24"/>
        </w:rPr>
        <w:t>1)美国劳工局数据显示，美国5月核心PPI年率为0.3%，与市场预期基本一致，较上月小幅度下跌。</w:t>
      </w:r>
    </w:p>
    <w:p w:rsidR="00EF70C0" w:rsidRPr="00EF70C0" w:rsidRDefault="00EF70C0" w:rsidP="00EF70C0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EF70C0">
        <w:rPr>
          <w:rFonts w:ascii="宋体" w:hAnsi="宋体" w:cs="宋体" w:hint="eastAsia"/>
          <w:color w:val="000000"/>
          <w:kern w:val="0"/>
          <w:sz w:val="24"/>
        </w:rPr>
        <w:t>2)美国劳工部数据显示，美国截至5月30日当</w:t>
      </w:r>
      <w:proofErr w:type="gramStart"/>
      <w:r w:rsidRPr="00EF70C0">
        <w:rPr>
          <w:rFonts w:ascii="宋体" w:hAnsi="宋体" w:cs="宋体" w:hint="eastAsia"/>
          <w:color w:val="000000"/>
          <w:kern w:val="0"/>
          <w:sz w:val="24"/>
        </w:rPr>
        <w:t>周续请失业金人数</w:t>
      </w:r>
      <w:proofErr w:type="gramEnd"/>
      <w:r w:rsidRPr="00EF70C0">
        <w:rPr>
          <w:rFonts w:ascii="宋体" w:hAnsi="宋体" w:cs="宋体" w:hint="eastAsia"/>
          <w:color w:val="000000"/>
          <w:kern w:val="0"/>
          <w:sz w:val="24"/>
        </w:rPr>
        <w:t>为2092.9万。随着美国市场经济的逐步恢复，较上期数据有小幅下跌。</w:t>
      </w:r>
    </w:p>
    <w:p w:rsidR="00EF70C0" w:rsidRPr="00EF70C0" w:rsidRDefault="00EF70C0" w:rsidP="00EF70C0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EF70C0">
        <w:rPr>
          <w:rFonts w:ascii="宋体" w:hAnsi="宋体" w:cs="宋体" w:hint="eastAsia"/>
          <w:color w:val="000000"/>
          <w:kern w:val="0"/>
          <w:sz w:val="24"/>
        </w:rPr>
        <w:t>3)美国密歇根大学数据显示，美国6月密歇根大学消费者信心指数初值为78.9，与市场预期基本一致，并较上月有小幅上涨。</w:t>
      </w:r>
    </w:p>
    <w:p w:rsidR="00046DFF" w:rsidRPr="00046DFF" w:rsidRDefault="00EF70C0" w:rsidP="00EF70C0">
      <w:pPr>
        <w:widowControl/>
        <w:snapToGrid w:val="0"/>
        <w:spacing w:line="360" w:lineRule="auto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EF70C0">
        <w:rPr>
          <w:rFonts w:ascii="宋体" w:hAnsi="宋体" w:cs="宋体" w:hint="eastAsia"/>
          <w:color w:val="000000"/>
          <w:kern w:val="0"/>
          <w:sz w:val="24"/>
        </w:rPr>
        <w:t xml:space="preserve">4)美国商务部数据显示，美国 5 </w:t>
      </w:r>
      <w:proofErr w:type="gramStart"/>
      <w:r w:rsidRPr="00EF70C0">
        <w:rPr>
          <w:rFonts w:ascii="宋体" w:hAnsi="宋体" w:cs="宋体" w:hint="eastAsia"/>
          <w:color w:val="000000"/>
          <w:kern w:val="0"/>
          <w:sz w:val="24"/>
        </w:rPr>
        <w:t>月核心零售</w:t>
      </w:r>
      <w:proofErr w:type="gramEnd"/>
      <w:r w:rsidRPr="00EF70C0">
        <w:rPr>
          <w:rFonts w:ascii="宋体" w:hAnsi="宋体" w:cs="宋体" w:hint="eastAsia"/>
          <w:color w:val="000000"/>
          <w:kern w:val="0"/>
          <w:sz w:val="24"/>
        </w:rPr>
        <w:t>销售月率为 12.4%，较上月有大幅上涨。</w:t>
      </w:r>
    </w:p>
    <w:p w:rsidR="00E32A5D" w:rsidRPr="00AC3BFA" w:rsidRDefault="000A20F0" w:rsidP="006033A4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EF70C0" w:rsidRPr="00EF70C0">
        <w:rPr>
          <w:rFonts w:ascii="宋体" w:hAnsi="宋体" w:cs="宋体" w:hint="eastAsia"/>
          <w:b/>
          <w:color w:val="000000"/>
          <w:kern w:val="0"/>
          <w:sz w:val="24"/>
        </w:rPr>
        <w:t>欧元区通胀水平远低于目标</w:t>
      </w:r>
    </w:p>
    <w:p w:rsidR="00970C1B" w:rsidRPr="00970C1B" w:rsidRDefault="00970C1B" w:rsidP="00970C1B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970C1B">
        <w:rPr>
          <w:rFonts w:ascii="宋体" w:hAnsi="宋体" w:cs="宋体" w:hint="eastAsia"/>
          <w:color w:val="000000"/>
          <w:kern w:val="0"/>
          <w:sz w:val="24"/>
        </w:rPr>
        <w:t>1)欧盟统计局数据显示欧元区4月季调</w:t>
      </w:r>
      <w:proofErr w:type="gramStart"/>
      <w:r w:rsidRPr="00970C1B">
        <w:rPr>
          <w:rFonts w:ascii="宋体" w:hAnsi="宋体" w:cs="宋体" w:hint="eastAsia"/>
          <w:color w:val="000000"/>
          <w:kern w:val="0"/>
          <w:sz w:val="24"/>
        </w:rPr>
        <w:t>后贸易帐</w:t>
      </w:r>
      <w:proofErr w:type="gramEnd"/>
      <w:r w:rsidRPr="00970C1B">
        <w:rPr>
          <w:rFonts w:ascii="宋体" w:hAnsi="宋体" w:cs="宋体" w:hint="eastAsia"/>
          <w:color w:val="000000"/>
          <w:kern w:val="0"/>
          <w:sz w:val="24"/>
        </w:rPr>
        <w:t>为12亿欧元，较之前大幅度下跌。</w:t>
      </w:r>
    </w:p>
    <w:p w:rsidR="00970C1B" w:rsidRPr="00970C1B" w:rsidRDefault="00970C1B" w:rsidP="00970C1B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970C1B">
        <w:rPr>
          <w:rFonts w:ascii="宋体" w:hAnsi="宋体" w:cs="宋体" w:hint="eastAsia"/>
          <w:color w:val="000000"/>
          <w:kern w:val="0"/>
          <w:sz w:val="24"/>
        </w:rPr>
        <w:lastRenderedPageBreak/>
        <w:t>2)欧洲经济研究中心(ZEW)数据显示欧元区6月ZEW经济景气指数为58.6，与市场预期基本一致，较上月大幅度上涨。</w:t>
      </w:r>
    </w:p>
    <w:p w:rsidR="00970C1B" w:rsidRPr="00970C1B" w:rsidRDefault="00970C1B" w:rsidP="00970C1B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970C1B">
        <w:rPr>
          <w:rFonts w:ascii="宋体" w:hAnsi="宋体" w:cs="宋体" w:hint="eastAsia"/>
          <w:color w:val="000000"/>
          <w:kern w:val="0"/>
          <w:sz w:val="24"/>
        </w:rPr>
        <w:t>3)欧盟统计局数据显示,欧元区5月</w:t>
      </w:r>
      <w:proofErr w:type="gramStart"/>
      <w:r w:rsidRPr="00970C1B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970C1B">
        <w:rPr>
          <w:rFonts w:ascii="宋体" w:hAnsi="宋体" w:cs="宋体" w:hint="eastAsia"/>
          <w:color w:val="000000"/>
          <w:kern w:val="0"/>
          <w:sz w:val="24"/>
        </w:rPr>
        <w:t>CPI年率终值为0.9%，与市场预期基本一致，未有浮动。</w:t>
      </w:r>
    </w:p>
    <w:p w:rsidR="00625ACC" w:rsidRDefault="00B47F1F" w:rsidP="008339DA">
      <w:pPr>
        <w:widowControl/>
        <w:snapToGrid w:val="0"/>
        <w:spacing w:line="360" w:lineRule="auto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835BD0">
        <w:rPr>
          <w:rFonts w:hint="eastAsia"/>
          <w:b/>
          <w:sz w:val="24"/>
        </w:rPr>
        <w:t>增加</w:t>
      </w:r>
    </w:p>
    <w:p w:rsidR="00950492" w:rsidRDefault="00950492" w:rsidP="00950492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835BD0">
        <w:rPr>
          <w:rFonts w:ascii="宋体" w:hAnsi="宋体" w:hint="eastAsia"/>
          <w:sz w:val="24"/>
        </w:rPr>
        <w:t>6</w:t>
      </w:r>
      <w:r w:rsidRPr="00575F50">
        <w:rPr>
          <w:rFonts w:ascii="宋体" w:hAnsi="宋体" w:hint="eastAsia"/>
          <w:sz w:val="24"/>
        </w:rPr>
        <w:t>月</w:t>
      </w:r>
      <w:r w:rsidR="00793BCD">
        <w:rPr>
          <w:rFonts w:ascii="宋体" w:hAnsi="宋体" w:hint="eastAsia"/>
          <w:sz w:val="24"/>
        </w:rPr>
        <w:t>12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835BD0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793BCD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、</w:t>
      </w:r>
      <w:proofErr w:type="gramStart"/>
      <w:r w:rsidR="00544CDD">
        <w:rPr>
          <w:rFonts w:ascii="宋体" w:hAnsi="宋体" w:hint="eastAsia"/>
          <w:sz w:val="24"/>
        </w:rPr>
        <w:t>馏分油</w:t>
      </w:r>
      <w:proofErr w:type="gramEnd"/>
      <w:r w:rsidR="00544CDD">
        <w:rPr>
          <w:rFonts w:ascii="宋体" w:hAnsi="宋体" w:hint="eastAsia"/>
          <w:sz w:val="24"/>
        </w:rPr>
        <w:t>库存均</w:t>
      </w:r>
      <w:r w:rsidR="00793BCD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BE05BE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E73465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835BD0">
        <w:rPr>
          <w:rFonts w:ascii="宋体" w:hAnsi="宋体" w:hint="eastAsia"/>
          <w:sz w:val="24"/>
        </w:rPr>
        <w:t>6</w:t>
      </w:r>
      <w:r w:rsidRPr="00575F50">
        <w:rPr>
          <w:rFonts w:ascii="宋体" w:hAnsi="宋体" w:hint="eastAsia"/>
          <w:sz w:val="24"/>
        </w:rPr>
        <w:t>月</w:t>
      </w:r>
      <w:r w:rsidR="00793BCD">
        <w:rPr>
          <w:rFonts w:ascii="宋体" w:hAnsi="宋体" w:hint="eastAsia"/>
          <w:sz w:val="24"/>
        </w:rPr>
        <w:t>12</w:t>
      </w:r>
      <w:r w:rsidRPr="00575F50">
        <w:rPr>
          <w:rFonts w:ascii="宋体" w:hAnsi="宋体" w:hint="eastAsia"/>
          <w:sz w:val="24"/>
        </w:rPr>
        <w:t>日当周）美国原油库存</w:t>
      </w:r>
      <w:r w:rsidR="00835BD0">
        <w:rPr>
          <w:rFonts w:ascii="宋体" w:hAnsi="宋体" w:hint="eastAsia"/>
          <w:sz w:val="24"/>
        </w:rPr>
        <w:t>增加</w:t>
      </w:r>
      <w:r w:rsidR="00793BCD">
        <w:rPr>
          <w:rFonts w:ascii="宋体" w:hAnsi="宋体" w:hint="eastAsia"/>
          <w:sz w:val="24"/>
        </w:rPr>
        <w:t>121.5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793BCD">
        <w:rPr>
          <w:rFonts w:ascii="宋体" w:hAnsi="宋体" w:hint="eastAsia"/>
          <w:sz w:val="24"/>
        </w:rPr>
        <w:t>5.39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793BCD">
        <w:rPr>
          <w:rFonts w:ascii="宋体" w:hAnsi="宋体" w:hint="eastAsia"/>
          <w:sz w:val="24"/>
        </w:rPr>
        <w:t>增加160.5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BE05BE">
        <w:rPr>
          <w:rFonts w:ascii="宋体" w:hAnsi="宋体" w:hint="eastAsia"/>
          <w:sz w:val="24"/>
        </w:rPr>
        <w:t>减少</w:t>
      </w:r>
      <w:r w:rsidR="00793BCD">
        <w:rPr>
          <w:rFonts w:ascii="宋体" w:hAnsi="宋体" w:hint="eastAsia"/>
          <w:sz w:val="24"/>
        </w:rPr>
        <w:t>260.8</w:t>
      </w:r>
      <w:r w:rsidRPr="00575F50">
        <w:rPr>
          <w:rFonts w:ascii="宋体" w:hAnsi="宋体" w:hint="eastAsia"/>
          <w:sz w:val="24"/>
        </w:rPr>
        <w:t>万桶，至</w:t>
      </w:r>
      <w:r w:rsidR="00793BCD">
        <w:rPr>
          <w:rFonts w:ascii="宋体" w:hAnsi="宋体" w:hint="eastAsia"/>
          <w:sz w:val="24"/>
        </w:rPr>
        <w:t>4683.6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793BCD">
        <w:rPr>
          <w:rFonts w:ascii="宋体" w:hAnsi="宋体" w:hint="eastAsia"/>
          <w:sz w:val="24"/>
        </w:rPr>
        <w:t>减少166.6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2.5</w:t>
      </w:r>
      <w:r w:rsidR="00793BCD">
        <w:rPr>
          <w:rFonts w:ascii="宋体" w:hAnsi="宋体" w:hint="eastAsia"/>
          <w:sz w:val="24"/>
        </w:rPr>
        <w:t>7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BE05BE">
        <w:rPr>
          <w:rFonts w:ascii="宋体" w:hAnsi="宋体" w:hint="eastAsia"/>
          <w:sz w:val="24"/>
        </w:rPr>
        <w:t>减少</w:t>
      </w:r>
      <w:r w:rsidR="00793BCD">
        <w:rPr>
          <w:rFonts w:ascii="宋体" w:hAnsi="宋体" w:hint="eastAsia"/>
          <w:sz w:val="24"/>
        </w:rPr>
        <w:t>97.2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93BCD">
        <w:rPr>
          <w:rFonts w:ascii="宋体" w:hAnsi="宋体" w:hint="eastAsia"/>
          <w:sz w:val="24"/>
        </w:rPr>
        <w:t>减少135.8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35544">
        <w:rPr>
          <w:rFonts w:ascii="宋体" w:hAnsi="宋体" w:hint="eastAsia"/>
          <w:sz w:val="24"/>
        </w:rPr>
        <w:t>7</w:t>
      </w:r>
      <w:r w:rsidR="00793BCD">
        <w:rPr>
          <w:rFonts w:ascii="宋体" w:hAnsi="宋体" w:hint="eastAsia"/>
          <w:sz w:val="24"/>
        </w:rPr>
        <w:t>4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560E91">
        <w:rPr>
          <w:rFonts w:ascii="宋体" w:hAnsi="宋体" w:hint="eastAsia"/>
          <w:sz w:val="24"/>
        </w:rPr>
        <w:t>增加</w:t>
      </w:r>
      <w:r w:rsidR="00793BCD">
        <w:rPr>
          <w:rFonts w:ascii="宋体" w:hAnsi="宋体" w:hint="eastAsia"/>
          <w:sz w:val="24"/>
        </w:rPr>
        <w:t>204.7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654201">
        <w:rPr>
          <w:rFonts w:ascii="宋体" w:hAnsi="宋体" w:hint="eastAsia"/>
          <w:sz w:val="24"/>
        </w:rPr>
        <w:t>7</w:t>
      </w:r>
      <w:r w:rsidR="00835BD0">
        <w:rPr>
          <w:rFonts w:ascii="宋体" w:hAnsi="宋体" w:hint="eastAsia"/>
          <w:sz w:val="24"/>
        </w:rPr>
        <w:t>3.</w:t>
      </w:r>
      <w:r w:rsidR="00793BCD">
        <w:rPr>
          <w:rFonts w:ascii="宋体" w:hAnsi="宋体" w:hint="eastAsia"/>
          <w:sz w:val="24"/>
        </w:rPr>
        <w:t>8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8E460C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793BCD">
        <w:rPr>
          <w:rFonts w:asciiTheme="minorEastAsia" w:eastAsiaTheme="minorEastAsia" w:hAnsiTheme="minorEastAsia" w:cs="宋体" w:hint="eastAsia"/>
          <w:snapToGrid w:val="0"/>
          <w:kern w:val="0"/>
        </w:rPr>
        <w:t>0.7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9D76F3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0382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3A436C" w:rsidRPr="003A436C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3A436C" w:rsidRPr="003A436C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3A436C" w:rsidRPr="003A436C">
        <w:rPr>
          <w:rFonts w:ascii="宋体" w:hAnsi="宋体" w:cs="宋体" w:hint="eastAsia"/>
          <w:b/>
          <w:color w:val="000000"/>
          <w:kern w:val="0"/>
          <w:sz w:val="24"/>
        </w:rPr>
        <w:t>上周上涨</w:t>
      </w:r>
    </w:p>
    <w:p w:rsidR="005A29A9" w:rsidRDefault="003A436C" w:rsidP="003A436C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美元指数整体呈高位震荡走势，周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上周上涨</w:t>
      </w:r>
      <w:r w:rsidR="000A7F4A" w:rsidRPr="000A7F4A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97.18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>
        <w:rPr>
          <w:rFonts w:ascii="宋体" w:hAnsi="宋体" w:cs="宋体" w:hint="eastAsia"/>
          <w:color w:val="000000"/>
          <w:kern w:val="0"/>
          <w:sz w:val="24"/>
        </w:rPr>
        <w:t>上涨</w:t>
      </w:r>
      <w:r w:rsidR="000A7F4A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="000A7F4A">
        <w:rPr>
          <w:rFonts w:ascii="宋体" w:hAnsi="宋体" w:cs="宋体" w:hint="eastAsia"/>
          <w:color w:val="000000"/>
          <w:kern w:val="0"/>
          <w:sz w:val="24"/>
        </w:rPr>
        <w:t>1</w:t>
      </w:r>
      <w:r w:rsidR="00D62937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3120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lastRenderedPageBreak/>
        <w:drawing>
          <wp:inline distT="0" distB="0" distL="0" distR="0">
            <wp:extent cx="5274310" cy="326313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D63752" w:rsidRDefault="00D63752" w:rsidP="00F05BEC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A67016">
        <w:rPr>
          <w:rFonts w:ascii="宋体" w:hAnsi="宋体" w:cs="宋体" w:hint="eastAsia"/>
          <w:color w:val="000000"/>
          <w:kern w:val="0"/>
          <w:sz w:val="24"/>
        </w:rPr>
        <w:t>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56.79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减少421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73.29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3762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16.50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814CEC">
        <w:rPr>
          <w:rFonts w:ascii="宋体" w:hAnsi="宋体" w:cs="宋体" w:hint="eastAsia"/>
          <w:color w:val="000000"/>
          <w:kern w:val="0"/>
          <w:sz w:val="24"/>
        </w:rPr>
        <w:t>4183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Default="003664EE" w:rsidP="00812BCB">
      <w:pPr>
        <w:widowControl/>
        <w:snapToGrid w:val="0"/>
        <w:spacing w:after="240" w:line="360" w:lineRule="atLeast"/>
        <w:ind w:firstLineChars="196" w:firstLine="472"/>
        <w:outlineLvl w:val="0"/>
        <w:rPr>
          <w:rFonts w:ascii="宋体" w:hAnsi="宋体" w:cs="宋体"/>
          <w:b/>
          <w:bCs/>
          <w:kern w:val="0"/>
          <w:sz w:val="24"/>
        </w:rPr>
      </w:pPr>
      <w:r w:rsidRPr="00D60CA6">
        <w:rPr>
          <w:rFonts w:ascii="宋体" w:hAnsi="宋体" w:cs="宋体" w:hint="eastAsia"/>
          <w:b/>
          <w:bCs/>
          <w:kern w:val="0"/>
          <w:sz w:val="24"/>
        </w:rPr>
        <w:t>二、石油市场短期走势预测</w:t>
      </w:r>
    </w:p>
    <w:p w:rsidR="00E267DE" w:rsidRPr="00E267DE" w:rsidRDefault="00777524" w:rsidP="002473FC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经济方面，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随着各国经济</w:t>
      </w:r>
      <w:proofErr w:type="gramStart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逐渐重</w:t>
      </w:r>
      <w:proofErr w:type="gramEnd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启，主要经济体经济指标总体好转，石油需求前景受到提振。其中，美国5月零售销售环比增长1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7.7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%，创有纪录以来最大单月增幅；欧元区6月经济景气指数大幅上升，5月为46，6月为58.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6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。中国国家统计局数据显示，5月中国原油加工量为5790万吨，即1363万桶/日，高于4月的1310万桶/日，且较上年同期增长8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.2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%；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IEA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最新预计2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020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年世界石油需求为9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170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万桶/日（同比减少810万桶/日），比5月预测高出近5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万桶/日，主要因疫情封锁期间消费量高于预期。不过，市场对二次疫情的担忧仍令油价有所承压。美国包括德克萨斯州、佛罗里达州和加利福尼亚州在内的超过1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个</w:t>
      </w:r>
      <w:proofErr w:type="gramStart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州报告</w:t>
      </w:r>
      <w:proofErr w:type="gramEnd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新增病例数大幅增加，北京新增病例持续数日攀升。不过，</w:t>
      </w:r>
      <w:proofErr w:type="gramStart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特朗普近日</w:t>
      </w:r>
      <w:proofErr w:type="gramEnd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表示将不会再次封锁美国，中国流行病学专家吴尊友表示北京疫情已基本控制住。当前市场对二次疫情的预期早已存在，只要主要经济体不再大规模封锁经济，对石油需求的实际影响就有限，疫情形势反复的影响将主要体现在对市场情绪的短期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lastRenderedPageBreak/>
        <w:t>冲击。供应方面，O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PEC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+联合部长级监督委员会（JMMC）6月1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8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日召开会议，强调全面遵守减产承诺的重要性，并将采取措施确保某些在上个月未能全面实现减产目标的国家</w:t>
      </w:r>
      <w:proofErr w:type="gramStart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作出</w:t>
      </w:r>
      <w:proofErr w:type="gramEnd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补偿。消息人士表示，此前未完全履行减产协议的国家，如伊拉克、哈萨克斯坦等，将在7-9月进行补偿，甚至将进行额外减产。J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MMC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会议结果给市场情绪带来提振，5月OPEC+减产执行率为87%，估计6月将进一步提升。JMMC将于7月15日再次开会，届时将提出下一轮减产规模建议。美国方面，美国石油在用钻机数仍在减少，6月1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9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日当周环比减少1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台，至1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89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台，相比3月中旬的年内高点减少7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2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%，同时，6月1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2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日当周美国原油</w:t>
      </w:r>
      <w:proofErr w:type="gramStart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产量环</w:t>
      </w:r>
      <w:proofErr w:type="gramEnd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比减少6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万桶/日，至1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050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万桶/日，部分原因在于海上设施受热带风暴Cristobal的影响而停产。近期分析师表示美国页岩油生产商到6月底将提高约50万桶/日产量，但这并不意味着美国原油产量即将回升，只是将减缓产量下降。库存方面，截至6月12日当周美国商业原油库存连升第二周，环比增加120万桶，达到5.393亿桶的纪录新高，一定程度上施压油价。市场结构方面，6月8日布伦特原油期货M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1-M2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合约价差自3月4日以来首次转为正值，且8日、9日均为正，表明市场呈现进一步复苏迹象。技术分析方面，斐波那契</w:t>
      </w:r>
      <w:proofErr w:type="gramStart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预测线</w:t>
      </w:r>
      <w:proofErr w:type="gramEnd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显示，布伦特上行阻力位在42.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5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美元/桶，若突破，则下一个阻力位在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43.3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美元/桶，支撑位在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41.4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美元/桶，若跌破，下一个支撑位在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39.9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美元/桶。综合判断，</w:t>
      </w:r>
      <w:bookmarkStart w:id="0" w:name="_Hlk40522721"/>
      <w:bookmarkStart w:id="1" w:name="_Hlk39937141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预计本周国际油价震荡偏强，</w:t>
      </w:r>
      <w:bookmarkEnd w:id="0"/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WTI和布伦特均价分别为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39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美元/桶和</w:t>
      </w:r>
      <w:r w:rsidR="00184B5B" w:rsidRPr="00184B5B">
        <w:rPr>
          <w:rFonts w:ascii="宋体" w:hAnsi="宋体" w:cs="宋体"/>
          <w:color w:val="000000"/>
          <w:kern w:val="0"/>
          <w:sz w:val="24"/>
        </w:rPr>
        <w:t>42</w:t>
      </w:r>
      <w:r w:rsidR="00184B5B" w:rsidRPr="00184B5B">
        <w:rPr>
          <w:rFonts w:ascii="宋体" w:hAnsi="宋体" w:cs="宋体" w:hint="eastAsia"/>
          <w:color w:val="000000"/>
          <w:kern w:val="0"/>
          <w:sz w:val="24"/>
        </w:rPr>
        <w:t>美元/桶。</w:t>
      </w:r>
      <w:bookmarkEnd w:id="1"/>
    </w:p>
    <w:p w:rsidR="00107A9F" w:rsidRPr="00107A9F" w:rsidRDefault="0028077F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1155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31" w:rsidRDefault="00F91131" w:rsidP="0094778E">
      <w:r>
        <w:separator/>
      </w:r>
    </w:p>
  </w:endnote>
  <w:endnote w:type="continuationSeparator" w:id="0">
    <w:p w:rsidR="00F91131" w:rsidRDefault="00F91131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31" w:rsidRDefault="00F91131" w:rsidP="0094778E">
      <w:r>
        <w:separator/>
      </w:r>
    </w:p>
  </w:footnote>
  <w:footnote w:type="continuationSeparator" w:id="0">
    <w:p w:rsidR="00F91131" w:rsidRDefault="00F91131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CCD"/>
    <w:rsid w:val="00175DB4"/>
    <w:rsid w:val="00175E1D"/>
    <w:rsid w:val="00176D68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6713"/>
    <w:rsid w:val="00186A37"/>
    <w:rsid w:val="00186BB8"/>
    <w:rsid w:val="00187033"/>
    <w:rsid w:val="00187571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75C"/>
    <w:rsid w:val="002D3870"/>
    <w:rsid w:val="002D3972"/>
    <w:rsid w:val="002D4301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59"/>
    <w:rsid w:val="004824D7"/>
    <w:rsid w:val="004829C8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49"/>
    <w:rsid w:val="00500989"/>
    <w:rsid w:val="00500B4F"/>
    <w:rsid w:val="00500C61"/>
    <w:rsid w:val="00500E7B"/>
    <w:rsid w:val="0050119D"/>
    <w:rsid w:val="005015CD"/>
    <w:rsid w:val="00501A2F"/>
    <w:rsid w:val="00501E33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837"/>
    <w:rsid w:val="00537AB0"/>
    <w:rsid w:val="00537FA8"/>
    <w:rsid w:val="005400A4"/>
    <w:rsid w:val="00540325"/>
    <w:rsid w:val="005408E5"/>
    <w:rsid w:val="00540970"/>
    <w:rsid w:val="00540BF5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9B3"/>
    <w:rsid w:val="00701C60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C78"/>
    <w:rsid w:val="007B2E6A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5FC"/>
    <w:rsid w:val="007C5C95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9D8"/>
    <w:rsid w:val="007D405A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71"/>
    <w:rsid w:val="008F6E56"/>
    <w:rsid w:val="008F6F50"/>
    <w:rsid w:val="008F7131"/>
    <w:rsid w:val="008F7169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F74"/>
    <w:rsid w:val="00AF3924"/>
    <w:rsid w:val="00AF40E4"/>
    <w:rsid w:val="00AF415C"/>
    <w:rsid w:val="00AF461C"/>
    <w:rsid w:val="00AF46A9"/>
    <w:rsid w:val="00AF474B"/>
    <w:rsid w:val="00AF495D"/>
    <w:rsid w:val="00AF5770"/>
    <w:rsid w:val="00AF5788"/>
    <w:rsid w:val="00AF57AE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1079"/>
    <w:rsid w:val="00C414D9"/>
    <w:rsid w:val="00C418B1"/>
    <w:rsid w:val="00C41E98"/>
    <w:rsid w:val="00C42004"/>
    <w:rsid w:val="00C4207B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918"/>
    <w:rsid w:val="00C73B3E"/>
    <w:rsid w:val="00C73BE8"/>
    <w:rsid w:val="00C73F02"/>
    <w:rsid w:val="00C740B2"/>
    <w:rsid w:val="00C740BE"/>
    <w:rsid w:val="00C74C23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465DF-7EBA-4D88-BF2B-FFCB83E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339</Words>
  <Characters>1935</Characters>
  <Application>Microsoft Office Word</Application>
  <DocSecurity>0</DocSecurity>
  <Lines>16</Lines>
  <Paragraphs>4</Paragraphs>
  <ScaleCrop>false</ScaleCrop>
  <Company>微软中国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13</cp:revision>
  <dcterms:created xsi:type="dcterms:W3CDTF">2020-06-21T11:08:00Z</dcterms:created>
  <dcterms:modified xsi:type="dcterms:W3CDTF">2020-06-21T12:10:00Z</dcterms:modified>
</cp:coreProperties>
</file>